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C3F" w:rsidRDefault="00B26600">
      <w:pPr>
        <w:rPr>
          <w:rFonts w:ascii="Times New Roman" w:hAnsi="Times New Roman" w:cs="Times New Roman"/>
          <w:sz w:val="24"/>
          <w:szCs w:val="24"/>
        </w:rPr>
      </w:pPr>
      <w:r w:rsidRPr="00B26600">
        <w:rPr>
          <w:rFonts w:ascii="Times New Roman" w:hAnsi="Times New Roman" w:cs="Times New Roman"/>
          <w:sz w:val="24"/>
          <w:szCs w:val="24"/>
        </w:rPr>
        <w:t xml:space="preserve">Č. </w:t>
      </w:r>
      <w:r>
        <w:rPr>
          <w:rFonts w:ascii="Times New Roman" w:hAnsi="Times New Roman" w:cs="Times New Roman"/>
          <w:sz w:val="24"/>
          <w:szCs w:val="24"/>
        </w:rPr>
        <w:t>spisu: OU-BB-MPO-</w:t>
      </w:r>
      <w:r w:rsidR="00FD52F9">
        <w:rPr>
          <w:rFonts w:ascii="Times New Roman" w:hAnsi="Times New Roman" w:cs="Times New Roman"/>
          <w:sz w:val="24"/>
          <w:szCs w:val="24"/>
        </w:rPr>
        <w:t>202</w:t>
      </w:r>
      <w:r w:rsidR="00A44B27">
        <w:rPr>
          <w:rFonts w:ascii="Times New Roman" w:hAnsi="Times New Roman" w:cs="Times New Roman"/>
          <w:sz w:val="24"/>
          <w:szCs w:val="24"/>
        </w:rPr>
        <w:t>4</w:t>
      </w:r>
      <w:r w:rsidR="00F95D76">
        <w:rPr>
          <w:rFonts w:ascii="Times New Roman" w:hAnsi="Times New Roman" w:cs="Times New Roman"/>
          <w:sz w:val="24"/>
          <w:szCs w:val="24"/>
        </w:rPr>
        <w:t>/</w:t>
      </w:r>
      <w:r w:rsidR="00BD0510">
        <w:rPr>
          <w:rFonts w:ascii="Times New Roman" w:hAnsi="Times New Roman" w:cs="Times New Roman"/>
          <w:sz w:val="24"/>
          <w:szCs w:val="24"/>
        </w:rPr>
        <w:t>00</w:t>
      </w:r>
      <w:r w:rsidR="00A44B27">
        <w:rPr>
          <w:rFonts w:ascii="Times New Roman" w:hAnsi="Times New Roman" w:cs="Times New Roman"/>
          <w:sz w:val="24"/>
          <w:szCs w:val="24"/>
        </w:rPr>
        <w:t>1213</w:t>
      </w:r>
      <w:r w:rsidR="00BD0510">
        <w:rPr>
          <w:rFonts w:ascii="Times New Roman" w:hAnsi="Times New Roman" w:cs="Times New Roman"/>
          <w:sz w:val="24"/>
          <w:szCs w:val="24"/>
        </w:rPr>
        <w:t>-0</w:t>
      </w:r>
      <w:r w:rsidR="00A44B27">
        <w:rPr>
          <w:rFonts w:ascii="Times New Roman" w:hAnsi="Times New Roman" w:cs="Times New Roman"/>
          <w:sz w:val="24"/>
          <w:szCs w:val="24"/>
        </w:rPr>
        <w:t>10</w:t>
      </w:r>
      <w:r w:rsidR="00FD52F9">
        <w:rPr>
          <w:rFonts w:ascii="Times New Roman" w:hAnsi="Times New Roman" w:cs="Times New Roman"/>
          <w:sz w:val="24"/>
          <w:szCs w:val="24"/>
        </w:rPr>
        <w:t xml:space="preserve"> SY</w:t>
      </w:r>
      <w:r w:rsidR="00F95D7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26600" w:rsidRDefault="00B26600" w:rsidP="00B266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Z á p i s n i c a</w:t>
      </w:r>
    </w:p>
    <w:p w:rsidR="00B26600" w:rsidRDefault="00B26600" w:rsidP="00B266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6600" w:rsidRDefault="00B26600" w:rsidP="00B26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z vyhodnotenia </w:t>
      </w:r>
      <w:r w:rsidR="00F95D76">
        <w:rPr>
          <w:rFonts w:ascii="Times New Roman" w:hAnsi="Times New Roman" w:cs="Times New Roman"/>
          <w:sz w:val="28"/>
          <w:szCs w:val="28"/>
        </w:rPr>
        <w:t>Vyhlásenia elektronickej aukcie</w:t>
      </w:r>
      <w:r>
        <w:rPr>
          <w:rFonts w:ascii="Times New Roman" w:hAnsi="Times New Roman" w:cs="Times New Roman"/>
          <w:sz w:val="28"/>
          <w:szCs w:val="28"/>
        </w:rPr>
        <w:t xml:space="preserve">, ktoré sa konalo </w:t>
      </w:r>
      <w:r w:rsidR="00A44B27">
        <w:rPr>
          <w:rFonts w:ascii="Times New Roman" w:hAnsi="Times New Roman" w:cs="Times New Roman"/>
          <w:sz w:val="28"/>
          <w:szCs w:val="28"/>
        </w:rPr>
        <w:t>26.04.2024</w:t>
      </w:r>
      <w:r>
        <w:rPr>
          <w:rFonts w:ascii="Times New Roman" w:hAnsi="Times New Roman" w:cs="Times New Roman"/>
          <w:sz w:val="28"/>
          <w:szCs w:val="28"/>
        </w:rPr>
        <w:t>, v kancelárii č. 220, na majetkovoprávnom odbore Okresného úradu Banská Bystrica</w:t>
      </w:r>
      <w:r w:rsidR="006C380E">
        <w:rPr>
          <w:rFonts w:ascii="Times New Roman" w:hAnsi="Times New Roman" w:cs="Times New Roman"/>
          <w:sz w:val="28"/>
          <w:szCs w:val="28"/>
        </w:rPr>
        <w:t>.</w:t>
      </w:r>
    </w:p>
    <w:p w:rsidR="00B26600" w:rsidRDefault="00B26600" w:rsidP="00B26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510" w:rsidRPr="00BD0510" w:rsidRDefault="00B26600" w:rsidP="00BD05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Predmetom </w:t>
      </w:r>
      <w:r w:rsidR="00FD52F9">
        <w:rPr>
          <w:rFonts w:ascii="Times New Roman" w:hAnsi="Times New Roman" w:cs="Times New Roman"/>
          <w:sz w:val="24"/>
          <w:szCs w:val="24"/>
        </w:rPr>
        <w:t>Vyhlásenia elektronickej aukcie</w:t>
      </w:r>
      <w:r>
        <w:rPr>
          <w:rFonts w:ascii="Times New Roman" w:hAnsi="Times New Roman" w:cs="Times New Roman"/>
          <w:sz w:val="24"/>
          <w:szCs w:val="24"/>
        </w:rPr>
        <w:t>, bola ponuka na predaj nehnuteľnost</w:t>
      </w:r>
      <w:r w:rsidR="00E7050D">
        <w:rPr>
          <w:rFonts w:ascii="Times New Roman" w:hAnsi="Times New Roman" w:cs="Times New Roman"/>
          <w:sz w:val="24"/>
          <w:szCs w:val="24"/>
        </w:rPr>
        <w:t>í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95D76">
        <w:rPr>
          <w:rFonts w:ascii="Times New Roman" w:hAnsi="Times New Roman" w:cs="Times New Roman"/>
          <w:sz w:val="24"/>
          <w:szCs w:val="24"/>
        </w:rPr>
        <w:t>veden</w:t>
      </w:r>
      <w:r w:rsidR="009A6F4C">
        <w:rPr>
          <w:rFonts w:ascii="Times New Roman" w:hAnsi="Times New Roman" w:cs="Times New Roman"/>
          <w:sz w:val="24"/>
          <w:szCs w:val="24"/>
        </w:rPr>
        <w:t>ých</w:t>
      </w:r>
      <w:r w:rsidR="00F95D76">
        <w:rPr>
          <w:rFonts w:ascii="Times New Roman" w:hAnsi="Times New Roman" w:cs="Times New Roman"/>
          <w:sz w:val="24"/>
          <w:szCs w:val="24"/>
        </w:rPr>
        <w:t xml:space="preserve"> </w:t>
      </w:r>
      <w:r w:rsidR="00C71A6A" w:rsidRPr="00C71A6A">
        <w:rPr>
          <w:rFonts w:ascii="Times New Roman" w:hAnsi="Times New Roman" w:cs="Times New Roman"/>
          <w:sz w:val="24"/>
          <w:szCs w:val="24"/>
        </w:rPr>
        <w:t xml:space="preserve">vlastníctva </w:t>
      </w:r>
      <w:r w:rsidR="00BD0510" w:rsidRPr="00BD0510">
        <w:rPr>
          <w:rFonts w:ascii="Times New Roman" w:hAnsi="Times New Roman" w:cs="Times New Roman"/>
          <w:sz w:val="24"/>
          <w:szCs w:val="24"/>
        </w:rPr>
        <w:t>č. 630, k.ú. Nová Bašta, okres Rimavská Sobota, v podiele 1/1, a to:</w:t>
      </w:r>
    </w:p>
    <w:p w:rsidR="00BD0510" w:rsidRPr="00BD0510" w:rsidRDefault="00BD0510" w:rsidP="00BD0510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0510">
        <w:rPr>
          <w:rFonts w:ascii="Times New Roman" w:hAnsi="Times New Roman" w:cs="Times New Roman"/>
          <w:sz w:val="24"/>
          <w:szCs w:val="24"/>
        </w:rPr>
        <w:t>Stavba, súp.č. 161- rodinný dom, postavený na pozemkoch – CKN č. 244, 245/1, 245/2, 246/4, s príslušenstvom, ktoré tvorí sklad, letná kuchyňa, plot predný, plot bočný, studňa, vodovodná a kanalizačná prípojka, žumpa a spevnená plocha,</w:t>
      </w:r>
    </w:p>
    <w:p w:rsidR="00BD0510" w:rsidRPr="00BD0510" w:rsidRDefault="00BD0510" w:rsidP="00BD0510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0510">
        <w:rPr>
          <w:rFonts w:ascii="Times New Roman" w:hAnsi="Times New Roman" w:cs="Times New Roman"/>
          <w:sz w:val="24"/>
          <w:szCs w:val="24"/>
        </w:rPr>
        <w:t>Stavba, bez súpisného čísla – samostatne stojaca garáž, postavená na pozemku – CKN č. 246/2,</w:t>
      </w:r>
    </w:p>
    <w:p w:rsidR="00BD0510" w:rsidRPr="00BD0510" w:rsidRDefault="00BD0510" w:rsidP="00BD0510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0510">
        <w:rPr>
          <w:rFonts w:ascii="Times New Roman" w:hAnsi="Times New Roman" w:cs="Times New Roman"/>
          <w:sz w:val="24"/>
          <w:szCs w:val="24"/>
        </w:rPr>
        <w:t>Stavba, bez súpisného čísla – hospodárska budova – iná budova, postavená na pozemku CKN č. 246/3,</w:t>
      </w:r>
    </w:p>
    <w:p w:rsidR="00BD0510" w:rsidRPr="00BD0510" w:rsidRDefault="00BD0510" w:rsidP="00BD0510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0510">
        <w:rPr>
          <w:rFonts w:ascii="Times New Roman" w:hAnsi="Times New Roman" w:cs="Times New Roman"/>
          <w:sz w:val="24"/>
          <w:szCs w:val="24"/>
        </w:rPr>
        <w:t>pozemok CKN č. 244 – zastavaná plocha a nádvorie o výmere 43 m</w:t>
      </w:r>
      <w:r w:rsidRPr="00BD051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D0510">
        <w:rPr>
          <w:rFonts w:ascii="Times New Roman" w:hAnsi="Times New Roman" w:cs="Times New Roman"/>
          <w:sz w:val="24"/>
          <w:szCs w:val="24"/>
        </w:rPr>
        <w:t>,</w:t>
      </w:r>
    </w:p>
    <w:p w:rsidR="00BD0510" w:rsidRPr="00BD0510" w:rsidRDefault="00BD0510" w:rsidP="00BD0510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0510">
        <w:rPr>
          <w:rFonts w:ascii="Times New Roman" w:hAnsi="Times New Roman" w:cs="Times New Roman"/>
          <w:sz w:val="24"/>
          <w:szCs w:val="24"/>
        </w:rPr>
        <w:t>pozemok CKN č. 245/1 – zastavaná plocha a nádvorie o výmere 120 m</w:t>
      </w:r>
      <w:r w:rsidRPr="00BD051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D0510">
        <w:rPr>
          <w:rFonts w:ascii="Times New Roman" w:hAnsi="Times New Roman" w:cs="Times New Roman"/>
          <w:sz w:val="24"/>
          <w:szCs w:val="24"/>
        </w:rPr>
        <w:t>,</w:t>
      </w:r>
    </w:p>
    <w:p w:rsidR="00BD0510" w:rsidRPr="00BD0510" w:rsidRDefault="00BD0510" w:rsidP="00BD0510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0510">
        <w:rPr>
          <w:rFonts w:ascii="Times New Roman" w:hAnsi="Times New Roman" w:cs="Times New Roman"/>
          <w:sz w:val="24"/>
          <w:szCs w:val="24"/>
        </w:rPr>
        <w:t>pozemok CKN č. 245/2 – zastavaná plocha a nádvorie o výmere 24 m</w:t>
      </w:r>
      <w:r w:rsidRPr="00BD051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D0510">
        <w:rPr>
          <w:rFonts w:ascii="Times New Roman" w:hAnsi="Times New Roman" w:cs="Times New Roman"/>
          <w:sz w:val="24"/>
          <w:szCs w:val="24"/>
        </w:rPr>
        <w:t>,</w:t>
      </w:r>
    </w:p>
    <w:p w:rsidR="00BD0510" w:rsidRPr="00BD0510" w:rsidRDefault="00BD0510" w:rsidP="00BD0510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0510">
        <w:rPr>
          <w:rFonts w:ascii="Times New Roman" w:hAnsi="Times New Roman" w:cs="Times New Roman"/>
          <w:sz w:val="24"/>
          <w:szCs w:val="24"/>
        </w:rPr>
        <w:t>pozemok CKN č. 246/1 – zastavaná plocha a nádvorie o výmere 644 m</w:t>
      </w:r>
      <w:r w:rsidRPr="00BD051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D0510">
        <w:rPr>
          <w:rFonts w:ascii="Times New Roman" w:hAnsi="Times New Roman" w:cs="Times New Roman"/>
          <w:sz w:val="24"/>
          <w:szCs w:val="24"/>
        </w:rPr>
        <w:t>,</w:t>
      </w:r>
    </w:p>
    <w:p w:rsidR="00BD0510" w:rsidRPr="00BD0510" w:rsidRDefault="00BD0510" w:rsidP="00BD0510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0510">
        <w:rPr>
          <w:rFonts w:ascii="Times New Roman" w:hAnsi="Times New Roman" w:cs="Times New Roman"/>
          <w:sz w:val="24"/>
          <w:szCs w:val="24"/>
        </w:rPr>
        <w:t>pozemok CKN č. 246/2 – zastavaná plocha a nádvorie o výmere 29 m</w:t>
      </w:r>
      <w:r w:rsidRPr="00BD051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D0510">
        <w:rPr>
          <w:rFonts w:ascii="Times New Roman" w:hAnsi="Times New Roman" w:cs="Times New Roman"/>
          <w:sz w:val="24"/>
          <w:szCs w:val="24"/>
        </w:rPr>
        <w:t>,</w:t>
      </w:r>
    </w:p>
    <w:p w:rsidR="00BD0510" w:rsidRPr="00BD0510" w:rsidRDefault="00BD0510" w:rsidP="00BD0510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0510">
        <w:rPr>
          <w:rFonts w:ascii="Times New Roman" w:hAnsi="Times New Roman" w:cs="Times New Roman"/>
          <w:sz w:val="24"/>
          <w:szCs w:val="24"/>
        </w:rPr>
        <w:t>pozemok CKN č. 246/3 – zastavaná plocha a nádvorie o výmere 23 m</w:t>
      </w:r>
      <w:r w:rsidRPr="00BD051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D0510">
        <w:rPr>
          <w:rFonts w:ascii="Times New Roman" w:hAnsi="Times New Roman" w:cs="Times New Roman"/>
          <w:sz w:val="24"/>
          <w:szCs w:val="24"/>
        </w:rPr>
        <w:t>,</w:t>
      </w:r>
    </w:p>
    <w:p w:rsidR="00BD0510" w:rsidRPr="00BD0510" w:rsidRDefault="00BD0510" w:rsidP="00BD0510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0510">
        <w:rPr>
          <w:rFonts w:ascii="Times New Roman" w:hAnsi="Times New Roman" w:cs="Times New Roman"/>
          <w:sz w:val="24"/>
          <w:szCs w:val="24"/>
        </w:rPr>
        <w:t>pozemok CKN č. 246/4 – zastavaná plocha a nádvorie o výmere 5 m</w:t>
      </w:r>
      <w:r w:rsidRPr="00BD051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D0510">
        <w:rPr>
          <w:rFonts w:ascii="Times New Roman" w:hAnsi="Times New Roman" w:cs="Times New Roman"/>
          <w:sz w:val="24"/>
          <w:szCs w:val="24"/>
        </w:rPr>
        <w:t>,</w:t>
      </w:r>
    </w:p>
    <w:p w:rsidR="00BD0510" w:rsidRPr="00BD0510" w:rsidRDefault="00BD0510" w:rsidP="00BD0510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0510">
        <w:rPr>
          <w:rFonts w:ascii="Times New Roman" w:hAnsi="Times New Roman" w:cs="Times New Roman"/>
          <w:sz w:val="24"/>
          <w:szCs w:val="24"/>
        </w:rPr>
        <w:t>pozemok CKN č. 247 – záhrada o výmere 1563 m</w:t>
      </w:r>
      <w:r w:rsidRPr="00BD051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D0510">
        <w:rPr>
          <w:rFonts w:ascii="Times New Roman" w:hAnsi="Times New Roman" w:cs="Times New Roman"/>
          <w:sz w:val="24"/>
          <w:szCs w:val="24"/>
        </w:rPr>
        <w:t>.</w:t>
      </w:r>
    </w:p>
    <w:p w:rsidR="00BD0510" w:rsidRPr="00BD0510" w:rsidRDefault="00BD0510" w:rsidP="00BD05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D0510" w:rsidRPr="00BD0510" w:rsidRDefault="00BD0510" w:rsidP="00BD05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D0510" w:rsidRPr="00BD0510" w:rsidRDefault="00BD0510" w:rsidP="00BD05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0510">
        <w:rPr>
          <w:rFonts w:ascii="Times New Roman" w:hAnsi="Times New Roman" w:cs="Times New Roman"/>
          <w:sz w:val="24"/>
          <w:szCs w:val="24"/>
        </w:rPr>
        <w:t>Nehnuteľnosť pripadla štátu na základe Osvedčenia o dedičstve 1D 222/2004-72.</w:t>
      </w:r>
    </w:p>
    <w:p w:rsidR="00BD0510" w:rsidRPr="00BD0510" w:rsidRDefault="00BD0510" w:rsidP="00BD05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D0510" w:rsidRPr="00BD0510" w:rsidRDefault="00BD0510" w:rsidP="00BD05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0510">
        <w:rPr>
          <w:rFonts w:ascii="Times New Roman" w:hAnsi="Times New Roman" w:cs="Times New Roman"/>
          <w:sz w:val="24"/>
          <w:szCs w:val="24"/>
        </w:rPr>
        <w:t>Ponukové konanie bolo vykonané v súlade s ustanovením §8 ods.1 zákona 278/1993 Z.z. o správe majetku štátu v znení neskorších predpisov.</w:t>
      </w:r>
    </w:p>
    <w:p w:rsidR="00BD0510" w:rsidRPr="00BD0510" w:rsidRDefault="00BD0510" w:rsidP="00BD05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44B27" w:rsidRPr="00A44B27" w:rsidRDefault="00A44B27" w:rsidP="00A44B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4B27">
        <w:rPr>
          <w:rFonts w:ascii="Times New Roman" w:hAnsi="Times New Roman" w:cs="Times New Roman"/>
          <w:sz w:val="24"/>
          <w:szCs w:val="24"/>
        </w:rPr>
        <w:t>Primeraná cena v zmysle ustanovenia §8a ods.3 zákona 278/1993 Z.z., bola zistená Znaleckým posudkom č. 088/2023, zo dňa 22.09.2024, ktorý vypracoval znalec Ing. Ivan Čierny, so sídlom Tatranská 30, 974 11 Banská Bystrica. Podľa citovaného znaleckého posudku bola všeobecná hodnota týchto nehnuteľností určená na 21.700,-  €.</w:t>
      </w:r>
    </w:p>
    <w:p w:rsidR="00A44B27" w:rsidRPr="00A44B27" w:rsidRDefault="00A44B27" w:rsidP="00A44B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44B27" w:rsidRPr="00A44B27" w:rsidRDefault="00A44B27" w:rsidP="00A44B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4B27">
        <w:rPr>
          <w:rFonts w:ascii="Times New Roman" w:hAnsi="Times New Roman" w:cs="Times New Roman"/>
          <w:sz w:val="24"/>
          <w:szCs w:val="24"/>
        </w:rPr>
        <w:t>Ponuka na prevod správy majetku štátu iným správcom bola zverejnená 25.01.2024 v Registri ponúkaného majetku štátu. V lehote stanovenej na doručovanie ponúk t.j. od 26.01.2024 do 26.02.2024, neprejavil záujem žiadny správca.</w:t>
      </w:r>
    </w:p>
    <w:p w:rsidR="00BD0510" w:rsidRDefault="00BD0510" w:rsidP="00BD05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44B27" w:rsidRDefault="00F95D76" w:rsidP="00BD05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Vyhlásenie elektronickej aukcie</w:t>
      </w:r>
      <w:r w:rsidR="00345782">
        <w:rPr>
          <w:rFonts w:ascii="Times New Roman" w:hAnsi="Times New Roman" w:cs="Times New Roman"/>
          <w:sz w:val="24"/>
          <w:szCs w:val="24"/>
        </w:rPr>
        <w:t xml:space="preserve"> sa uskutočnilo</w:t>
      </w:r>
      <w:r w:rsidR="003A6842" w:rsidRPr="00F95D76">
        <w:rPr>
          <w:rFonts w:ascii="Times New Roman" w:hAnsi="Times New Roman" w:cs="Times New Roman"/>
          <w:sz w:val="24"/>
          <w:szCs w:val="24"/>
        </w:rPr>
        <w:t xml:space="preserve"> zverejnením v Registri ponúkaného majetku štátu</w:t>
      </w:r>
      <w:r w:rsidR="001B3AEC" w:rsidRPr="00F95D76">
        <w:rPr>
          <w:rFonts w:ascii="Times New Roman" w:hAnsi="Times New Roman" w:cs="Times New Roman"/>
          <w:sz w:val="24"/>
          <w:szCs w:val="24"/>
        </w:rPr>
        <w:t xml:space="preserve">, dňa </w:t>
      </w:r>
      <w:r w:rsidR="00A44B27">
        <w:rPr>
          <w:rFonts w:ascii="Times New Roman" w:hAnsi="Times New Roman" w:cs="Times New Roman"/>
          <w:sz w:val="24"/>
          <w:szCs w:val="24"/>
        </w:rPr>
        <w:t>25.03.2024</w:t>
      </w:r>
      <w:r w:rsidR="00D60B1E" w:rsidRPr="00F95D76">
        <w:rPr>
          <w:rFonts w:ascii="Times New Roman" w:hAnsi="Times New Roman" w:cs="Times New Roman"/>
          <w:sz w:val="24"/>
          <w:szCs w:val="24"/>
        </w:rPr>
        <w:t xml:space="preserve">, s primeranou cenou </w:t>
      </w:r>
      <w:r w:rsidR="00A44B27">
        <w:rPr>
          <w:rFonts w:ascii="Times New Roman" w:hAnsi="Times New Roman" w:cs="Times New Roman"/>
          <w:sz w:val="24"/>
          <w:szCs w:val="24"/>
        </w:rPr>
        <w:t>21.700</w:t>
      </w:r>
      <w:r w:rsidR="00D60B1E" w:rsidRPr="00F95D76">
        <w:rPr>
          <w:rFonts w:ascii="Times New Roman" w:hAnsi="Times New Roman" w:cs="Times New Roman"/>
          <w:sz w:val="24"/>
          <w:szCs w:val="24"/>
        </w:rPr>
        <w:t>,-€</w:t>
      </w:r>
      <w:r w:rsidR="00A44B27" w:rsidRPr="00A44B27">
        <w:rPr>
          <w:rFonts w:ascii="Times New Roman" w:hAnsi="Times New Roman" w:cs="Times New Roman"/>
          <w:sz w:val="24"/>
          <w:szCs w:val="24"/>
        </w:rPr>
        <w:t xml:space="preserve"> </w:t>
      </w:r>
      <w:r w:rsidR="00A44B27">
        <w:rPr>
          <w:rFonts w:ascii="Times New Roman" w:hAnsi="Times New Roman" w:cs="Times New Roman"/>
          <w:sz w:val="24"/>
          <w:szCs w:val="24"/>
        </w:rPr>
        <w:t>s povinnosťou úhrady zábezpeky vo výške 2.</w:t>
      </w:r>
      <w:r w:rsidR="00A44B27">
        <w:rPr>
          <w:rFonts w:ascii="Times New Roman" w:hAnsi="Times New Roman" w:cs="Times New Roman"/>
          <w:sz w:val="24"/>
          <w:szCs w:val="24"/>
        </w:rPr>
        <w:t>1</w:t>
      </w:r>
      <w:r w:rsidR="00A44B27">
        <w:rPr>
          <w:rFonts w:ascii="Times New Roman" w:hAnsi="Times New Roman" w:cs="Times New Roman"/>
          <w:sz w:val="24"/>
          <w:szCs w:val="24"/>
        </w:rPr>
        <w:t>00,- €</w:t>
      </w:r>
      <w:r w:rsidR="00A44B27" w:rsidRPr="00F95D76">
        <w:rPr>
          <w:rFonts w:ascii="Times New Roman" w:hAnsi="Times New Roman" w:cs="Times New Roman"/>
          <w:sz w:val="24"/>
          <w:szCs w:val="24"/>
        </w:rPr>
        <w:t>.</w:t>
      </w:r>
      <w:r w:rsidR="00D60B1E" w:rsidRPr="00F95D76">
        <w:rPr>
          <w:rFonts w:ascii="Times New Roman" w:hAnsi="Times New Roman" w:cs="Times New Roman"/>
          <w:sz w:val="24"/>
          <w:szCs w:val="24"/>
        </w:rPr>
        <w:t xml:space="preserve"> </w:t>
      </w:r>
      <w:r w:rsidR="00D60B1E" w:rsidRPr="00D60B1E">
        <w:rPr>
          <w:rFonts w:ascii="Times New Roman" w:hAnsi="Times New Roman" w:cs="Times New Roman"/>
          <w:sz w:val="24"/>
          <w:szCs w:val="24"/>
        </w:rPr>
        <w:t>Na uverejnenú ponuku sa v určenej lehote</w:t>
      </w:r>
      <w:r w:rsidR="001207D1">
        <w:rPr>
          <w:rFonts w:ascii="Times New Roman" w:hAnsi="Times New Roman" w:cs="Times New Roman"/>
          <w:sz w:val="24"/>
          <w:szCs w:val="24"/>
        </w:rPr>
        <w:t xml:space="preserve"> (</w:t>
      </w:r>
      <w:r w:rsidR="00A44B27">
        <w:rPr>
          <w:rFonts w:ascii="Times New Roman" w:hAnsi="Times New Roman" w:cs="Times New Roman"/>
          <w:sz w:val="24"/>
          <w:szCs w:val="24"/>
        </w:rPr>
        <w:t>26.03.2024 – 24.04.2024</w:t>
      </w:r>
      <w:r w:rsidR="001207D1">
        <w:rPr>
          <w:rFonts w:ascii="Times New Roman" w:hAnsi="Times New Roman" w:cs="Times New Roman"/>
          <w:sz w:val="24"/>
          <w:szCs w:val="24"/>
        </w:rPr>
        <w:t>)</w:t>
      </w:r>
      <w:r w:rsidR="00D60B1E" w:rsidRPr="00D60B1E">
        <w:rPr>
          <w:rFonts w:ascii="Times New Roman" w:hAnsi="Times New Roman" w:cs="Times New Roman"/>
          <w:sz w:val="24"/>
          <w:szCs w:val="24"/>
        </w:rPr>
        <w:t xml:space="preserve"> </w:t>
      </w:r>
      <w:r w:rsidR="00FD52F9">
        <w:rPr>
          <w:rFonts w:ascii="Times New Roman" w:hAnsi="Times New Roman" w:cs="Times New Roman"/>
          <w:sz w:val="24"/>
          <w:szCs w:val="24"/>
        </w:rPr>
        <w:t>p</w:t>
      </w:r>
      <w:r w:rsidR="00D60B1E" w:rsidRPr="00D60B1E">
        <w:rPr>
          <w:rFonts w:ascii="Times New Roman" w:hAnsi="Times New Roman" w:cs="Times New Roman"/>
          <w:sz w:val="24"/>
          <w:szCs w:val="24"/>
        </w:rPr>
        <w:t>rihlásil</w:t>
      </w:r>
      <w:r w:rsidR="00C71A6A">
        <w:rPr>
          <w:rFonts w:ascii="Times New Roman" w:hAnsi="Times New Roman" w:cs="Times New Roman"/>
          <w:sz w:val="24"/>
          <w:szCs w:val="24"/>
        </w:rPr>
        <w:t xml:space="preserve"> </w:t>
      </w:r>
      <w:r w:rsidR="00A44B27">
        <w:rPr>
          <w:rFonts w:ascii="Times New Roman" w:hAnsi="Times New Roman" w:cs="Times New Roman"/>
          <w:sz w:val="24"/>
          <w:szCs w:val="24"/>
        </w:rPr>
        <w:t>jeden</w:t>
      </w:r>
      <w:r w:rsidR="00D60B1E" w:rsidRPr="00D60B1E">
        <w:rPr>
          <w:rFonts w:ascii="Times New Roman" w:hAnsi="Times New Roman" w:cs="Times New Roman"/>
          <w:sz w:val="24"/>
          <w:szCs w:val="24"/>
        </w:rPr>
        <w:t xml:space="preserve"> záujemc</w:t>
      </w:r>
      <w:r w:rsidR="00FD52F9">
        <w:rPr>
          <w:rFonts w:ascii="Times New Roman" w:hAnsi="Times New Roman" w:cs="Times New Roman"/>
          <w:sz w:val="24"/>
          <w:szCs w:val="24"/>
        </w:rPr>
        <w:t>a</w:t>
      </w:r>
      <w:r w:rsidR="00A44B27">
        <w:rPr>
          <w:rFonts w:ascii="Times New Roman" w:hAnsi="Times New Roman" w:cs="Times New Roman"/>
          <w:sz w:val="24"/>
          <w:szCs w:val="24"/>
        </w:rPr>
        <w:t>:</w:t>
      </w:r>
    </w:p>
    <w:p w:rsidR="00FD52F9" w:rsidRPr="00A44B27" w:rsidRDefault="00A44B27" w:rsidP="00A44B27">
      <w:pPr>
        <w:pStyle w:val="Odsekzoznamu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ponuka č. záznamu 0042015/2024 – D.Róthová, Hnilec,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s ponukou 21.725,- € - zábezpeka neuhradená</w:t>
      </w:r>
      <w:r w:rsidR="00C71A6A" w:rsidRPr="00A44B27">
        <w:rPr>
          <w:rFonts w:ascii="Times New Roman" w:hAnsi="Times New Roman" w:cs="Times New Roman"/>
          <w:sz w:val="24"/>
          <w:szCs w:val="24"/>
        </w:rPr>
        <w:t>.</w:t>
      </w:r>
    </w:p>
    <w:p w:rsidR="00FD52F9" w:rsidRDefault="00FD52F9" w:rsidP="00F95D7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A44B27" w:rsidRDefault="00345782" w:rsidP="00A44B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</w:t>
      </w:r>
      <w:r w:rsidR="0033782B" w:rsidRPr="00D60B1E">
        <w:rPr>
          <w:rFonts w:ascii="Times New Roman" w:hAnsi="Times New Roman" w:cs="Times New Roman"/>
          <w:sz w:val="24"/>
          <w:szCs w:val="24"/>
        </w:rPr>
        <w:t xml:space="preserve">omisia konštatovala, že </w:t>
      </w:r>
      <w:r w:rsidR="0005599A">
        <w:rPr>
          <w:rFonts w:ascii="Times New Roman" w:hAnsi="Times New Roman" w:cs="Times New Roman"/>
          <w:sz w:val="24"/>
          <w:szCs w:val="24"/>
        </w:rPr>
        <w:t>V</w:t>
      </w:r>
      <w:r w:rsidR="0033782B">
        <w:rPr>
          <w:rFonts w:ascii="Times New Roman" w:hAnsi="Times New Roman" w:cs="Times New Roman"/>
          <w:sz w:val="24"/>
          <w:szCs w:val="24"/>
        </w:rPr>
        <w:t>yhlásenie elektronickej aukcie</w:t>
      </w:r>
      <w:r w:rsidR="0033782B" w:rsidRPr="00F95D76">
        <w:rPr>
          <w:rFonts w:ascii="Times New Roman" w:hAnsi="Times New Roman" w:cs="Times New Roman"/>
          <w:sz w:val="24"/>
          <w:szCs w:val="24"/>
        </w:rPr>
        <w:t xml:space="preserve"> </w:t>
      </w:r>
      <w:r w:rsidR="0033782B">
        <w:rPr>
          <w:rFonts w:ascii="Times New Roman" w:hAnsi="Times New Roman" w:cs="Times New Roman"/>
          <w:sz w:val="24"/>
          <w:szCs w:val="24"/>
        </w:rPr>
        <w:t xml:space="preserve">bolo </w:t>
      </w:r>
      <w:r w:rsidR="00C71A6A">
        <w:rPr>
          <w:rFonts w:ascii="Times New Roman" w:hAnsi="Times New Roman" w:cs="Times New Roman"/>
          <w:sz w:val="24"/>
          <w:szCs w:val="24"/>
        </w:rPr>
        <w:t>ne</w:t>
      </w:r>
      <w:r w:rsidR="0033782B" w:rsidRPr="00D60B1E">
        <w:rPr>
          <w:rFonts w:ascii="Times New Roman" w:hAnsi="Times New Roman" w:cs="Times New Roman"/>
          <w:sz w:val="24"/>
          <w:szCs w:val="24"/>
        </w:rPr>
        <w:t>úspešné.</w:t>
      </w:r>
      <w:r w:rsidR="0033782B">
        <w:rPr>
          <w:rFonts w:ascii="Times New Roman" w:hAnsi="Times New Roman" w:cs="Times New Roman"/>
          <w:sz w:val="24"/>
          <w:szCs w:val="24"/>
        </w:rPr>
        <w:t xml:space="preserve"> </w:t>
      </w:r>
      <w:r w:rsidR="00A44B27">
        <w:rPr>
          <w:rFonts w:ascii="Times New Roman" w:hAnsi="Times New Roman" w:cs="Times New Roman"/>
          <w:sz w:val="24"/>
          <w:szCs w:val="24"/>
        </w:rPr>
        <w:t xml:space="preserve">Nakoľko jediný záujemca s doručenou ponukou nesplnil stanovené podmienky – v stanovenej lehote nebola uhradená požadovaná zábezpeka. </w:t>
      </w:r>
      <w:r w:rsidR="00A44B27">
        <w:rPr>
          <w:rFonts w:ascii="Times New Roman" w:hAnsi="Times New Roman" w:cs="Times New Roman"/>
          <w:sz w:val="24"/>
          <w:szCs w:val="24"/>
        </w:rPr>
        <w:t>Bude nasledovať zníženie primeranej ceny o 10 %.</w:t>
      </w:r>
    </w:p>
    <w:p w:rsidR="00345782" w:rsidRDefault="00345782" w:rsidP="003457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45782" w:rsidRDefault="00345782" w:rsidP="003457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26600" w:rsidRPr="00B26600" w:rsidRDefault="00B26600" w:rsidP="00B266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6600" w:rsidRDefault="00E854C5" w:rsidP="00E85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Zápisnicu vypracovala: JUDr. </w:t>
      </w:r>
      <w:r w:rsidRPr="00E854C5">
        <w:rPr>
          <w:rFonts w:ascii="Times New Roman" w:hAnsi="Times New Roman" w:cs="Times New Roman"/>
          <w:sz w:val="24"/>
          <w:szCs w:val="24"/>
        </w:rPr>
        <w:t>Janka Syčová</w:t>
      </w:r>
    </w:p>
    <w:p w:rsidR="00F95D76" w:rsidRPr="00E854C5" w:rsidRDefault="00E854C5" w:rsidP="00E85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Banskej Bystrici, dňa </w:t>
      </w:r>
      <w:r w:rsidR="00A44B27">
        <w:rPr>
          <w:rFonts w:ascii="Times New Roman" w:hAnsi="Times New Roman" w:cs="Times New Roman"/>
          <w:sz w:val="24"/>
          <w:szCs w:val="24"/>
        </w:rPr>
        <w:t>26.04.2024</w:t>
      </w:r>
    </w:p>
    <w:sectPr w:rsidR="00F95D76" w:rsidRPr="00E854C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26BF" w:rsidRDefault="001526BF" w:rsidP="00345782">
      <w:pPr>
        <w:spacing w:after="0" w:line="240" w:lineRule="auto"/>
      </w:pPr>
      <w:r>
        <w:separator/>
      </w:r>
    </w:p>
  </w:endnote>
  <w:endnote w:type="continuationSeparator" w:id="0">
    <w:p w:rsidR="001526BF" w:rsidRDefault="001526BF" w:rsidP="00345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51120808"/>
      <w:docPartObj>
        <w:docPartGallery w:val="Page Numbers (Bottom of Page)"/>
        <w:docPartUnique/>
      </w:docPartObj>
    </w:sdtPr>
    <w:sdtEndPr/>
    <w:sdtContent>
      <w:p w:rsidR="00345782" w:rsidRDefault="00345782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4B27">
          <w:rPr>
            <w:noProof/>
          </w:rPr>
          <w:t>1</w:t>
        </w:r>
        <w:r>
          <w:fldChar w:fldCharType="end"/>
        </w:r>
      </w:p>
    </w:sdtContent>
  </w:sdt>
  <w:p w:rsidR="00345782" w:rsidRDefault="00345782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26BF" w:rsidRDefault="001526BF" w:rsidP="00345782">
      <w:pPr>
        <w:spacing w:after="0" w:line="240" w:lineRule="auto"/>
      </w:pPr>
      <w:r>
        <w:separator/>
      </w:r>
    </w:p>
  </w:footnote>
  <w:footnote w:type="continuationSeparator" w:id="0">
    <w:p w:rsidR="001526BF" w:rsidRDefault="001526BF" w:rsidP="003457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F3490"/>
    <w:multiLevelType w:val="hybridMultilevel"/>
    <w:tmpl w:val="58EA898A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E8655FC"/>
    <w:multiLevelType w:val="hybridMultilevel"/>
    <w:tmpl w:val="8A80C9BE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3860D2"/>
    <w:multiLevelType w:val="hybridMultilevel"/>
    <w:tmpl w:val="1D42E29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917C2B"/>
    <w:multiLevelType w:val="hybridMultilevel"/>
    <w:tmpl w:val="9C6AFE50"/>
    <w:lvl w:ilvl="0" w:tplc="C450C0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C449D7"/>
    <w:multiLevelType w:val="hybridMultilevel"/>
    <w:tmpl w:val="39D61EB0"/>
    <w:lvl w:ilvl="0" w:tplc="715410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13F6C"/>
    <w:multiLevelType w:val="hybridMultilevel"/>
    <w:tmpl w:val="3D381F60"/>
    <w:lvl w:ilvl="0" w:tplc="8878D866">
      <w:start w:val="98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2B1224"/>
    <w:multiLevelType w:val="hybridMultilevel"/>
    <w:tmpl w:val="8FDC5AF2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E7E3BBC"/>
    <w:multiLevelType w:val="hybridMultilevel"/>
    <w:tmpl w:val="481A7438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4290C89"/>
    <w:multiLevelType w:val="hybridMultilevel"/>
    <w:tmpl w:val="CCBC0026"/>
    <w:lvl w:ilvl="0" w:tplc="45425F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795361"/>
    <w:multiLevelType w:val="hybridMultilevel"/>
    <w:tmpl w:val="3B5EEE34"/>
    <w:lvl w:ilvl="0" w:tplc="58CAD0CC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F44A34"/>
    <w:multiLevelType w:val="hybridMultilevel"/>
    <w:tmpl w:val="C7909A5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4521CC"/>
    <w:multiLevelType w:val="hybridMultilevel"/>
    <w:tmpl w:val="8440F414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7"/>
  </w:num>
  <w:num w:numId="5">
    <w:abstractNumId w:val="4"/>
  </w:num>
  <w:num w:numId="6">
    <w:abstractNumId w:val="11"/>
  </w:num>
  <w:num w:numId="7">
    <w:abstractNumId w:val="6"/>
  </w:num>
  <w:num w:numId="8">
    <w:abstractNumId w:val="0"/>
  </w:num>
  <w:num w:numId="9">
    <w:abstractNumId w:val="1"/>
  </w:num>
  <w:num w:numId="10">
    <w:abstractNumId w:val="5"/>
  </w:num>
  <w:num w:numId="11">
    <w:abstractNumId w:val="9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DA4"/>
    <w:rsid w:val="00001EED"/>
    <w:rsid w:val="0005599A"/>
    <w:rsid w:val="001207D1"/>
    <w:rsid w:val="001526BF"/>
    <w:rsid w:val="001B3AEC"/>
    <w:rsid w:val="001D0AD4"/>
    <w:rsid w:val="0033782B"/>
    <w:rsid w:val="00345782"/>
    <w:rsid w:val="003A6842"/>
    <w:rsid w:val="004E5A27"/>
    <w:rsid w:val="006A33FF"/>
    <w:rsid w:val="006C380E"/>
    <w:rsid w:val="006E71FD"/>
    <w:rsid w:val="00792C3F"/>
    <w:rsid w:val="007E1910"/>
    <w:rsid w:val="00850869"/>
    <w:rsid w:val="00865D78"/>
    <w:rsid w:val="008858E5"/>
    <w:rsid w:val="00895D4F"/>
    <w:rsid w:val="008A778E"/>
    <w:rsid w:val="00937DA4"/>
    <w:rsid w:val="009A6F4C"/>
    <w:rsid w:val="009B2660"/>
    <w:rsid w:val="00A44B27"/>
    <w:rsid w:val="00B26600"/>
    <w:rsid w:val="00B630FB"/>
    <w:rsid w:val="00BD0510"/>
    <w:rsid w:val="00C71A6A"/>
    <w:rsid w:val="00D352AA"/>
    <w:rsid w:val="00D60B1E"/>
    <w:rsid w:val="00E1607F"/>
    <w:rsid w:val="00E7050D"/>
    <w:rsid w:val="00E854C5"/>
    <w:rsid w:val="00F731DD"/>
    <w:rsid w:val="00F95D76"/>
    <w:rsid w:val="00FD5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71DD8E-E40C-4CF4-8E3C-2ADDDB05C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26600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95D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95D76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3457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45782"/>
  </w:style>
  <w:style w:type="paragraph" w:styleId="Pta">
    <w:name w:val="footer"/>
    <w:basedOn w:val="Normlny"/>
    <w:link w:val="PtaChar"/>
    <w:uiPriority w:val="99"/>
    <w:unhideWhenUsed/>
    <w:rsid w:val="003457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457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2813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Janka Syčová</dc:creator>
  <cp:keywords/>
  <dc:description/>
  <cp:lastModifiedBy>Janka Syčová</cp:lastModifiedBy>
  <cp:revision>20</cp:revision>
  <cp:lastPrinted>2024-04-26T07:13:00Z</cp:lastPrinted>
  <dcterms:created xsi:type="dcterms:W3CDTF">2019-03-06T07:25:00Z</dcterms:created>
  <dcterms:modified xsi:type="dcterms:W3CDTF">2024-04-26T07:13:00Z</dcterms:modified>
</cp:coreProperties>
</file>